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432c5f575e01992fe2ebe54d2c1573e11a0c01e"/>
    <w:p>
      <w:pPr>
        <w:pStyle w:val="Heading2"/>
      </w:pPr>
      <w:r>
        <w:t xml:space="preserve">Abracadabracadoo Protocol Addendum VI: Conditional Deniability in Proof Structures</w:t>
      </w:r>
    </w:p>
    <w:p>
      <w:pPr>
        <w:pStyle w:val="FirstParagraph"/>
      </w:pPr>
      <w:r>
        <w:rPr>
          <w:b/>
          <w:bCs/>
        </w:rPr>
        <w:t xml:space="preserve">Status:</w:t>
      </w:r>
      <w:r>
        <w:t xml:space="preserve"> </w:t>
      </w:r>
      <w:r>
        <w:t xml:space="preserve">Proposal Layer – Optional Extension</w:t>
      </w:r>
      <w:r>
        <w:br/>
      </w:r>
      <w:r>
        <w:rPr>
          <w:b/>
          <w:bCs/>
        </w:rPr>
        <w:t xml:space="preserve">Filed Under:</w:t>
      </w:r>
      <w:r>
        <w:t xml:space="preserve"> </w:t>
      </w:r>
      <w:r>
        <w:t xml:space="preserve">Deniability Mechanics and Controlled Auditability</w:t>
      </w:r>
    </w:p>
    <w:p>
      <w:r>
        <w:pict>
          <v:rect style="width:0;height:1.5pt" o:hralign="center" o:hrstd="t" o:hr="t"/>
        </w:pict>
      </w:r>
    </w:p>
    <w:bookmarkStart w:id="20" w:name="abstract"/>
    <w:p>
      <w:pPr>
        <w:pStyle w:val="Heading3"/>
      </w:pPr>
      <w:r>
        <w:t xml:space="preserve">Abstract</w:t>
      </w:r>
    </w:p>
    <w:p>
      <w:pPr>
        <w:pStyle w:val="FirstParagraph"/>
      </w:pPr>
      <w:r>
        <w:t xml:space="preserve">This addendum extends the Abracadabracadoo Protocol to enable</w:t>
      </w:r>
      <w:r>
        <w:t xml:space="preserve"> </w:t>
      </w:r>
      <w:r>
        <w:rPr>
          <w:b/>
          <w:bCs/>
        </w:rPr>
        <w:t xml:space="preserve">conditional deniability within proof structures</w:t>
      </w:r>
      <w:r>
        <w:t xml:space="preserve"> </w:t>
      </w:r>
      <w:r>
        <w:t xml:space="preserve">by incorporating an</w:t>
      </w:r>
      <w:r>
        <w:t xml:space="preserve"> </w:t>
      </w:r>
      <w:r>
        <w:rPr>
          <w:b/>
          <w:bCs/>
        </w:rPr>
        <w:t xml:space="preserve">ephemeral, recipient-contributed secret (</w:t>
      </w:r>
      <w:r>
        <w:t xml:space="preserve">`</w:t>
      </w:r>
      <w:r>
        <w:rPr>
          <w:rStyle w:val="VerbatimChar"/>
        </w:rPr>
        <w:t xml:space="preserve">**)** into the proof token (</w:t>
      </w:r>
      <w:r>
        <w:t xml:space="preserve">P</w:t>
      </w:r>
      <w:r>
        <w:rPr>
          <w:rStyle w:val="VerbatimChar"/>
        </w:rPr>
        <w:t xml:space="preserve">). This design preserves **audit-friendly nonrepudiation under normal conditions** while ensuring that if the sender or server’s proof key (</w:t>
      </w:r>
      <w:r>
        <w:t xml:space="preserve">K_proof`) is later leaked,</w:t>
      </w:r>
      <w:r>
        <w:t xml:space="preserve"> </w:t>
      </w:r>
      <w:r>
        <w:rPr>
          <w:b/>
          <w:bCs/>
        </w:rPr>
        <w:t xml:space="preserve">receipt can still remain deniable unless the recipient explicitly cooperates</w:t>
      </w:r>
      <w:r>
        <w:t xml:space="preserve">. This mechanism aligns cryptographic message receipt with</w:t>
      </w:r>
      <w:r>
        <w:t xml:space="preserve"> </w:t>
      </w:r>
      <w:r>
        <w:rPr>
          <w:b/>
          <w:bCs/>
        </w:rPr>
        <w:t xml:space="preserve">consent-based disclosure, maintaining sovereignty while supporting legal mapping to existing paper systems where conditional nonrepudiation is desirable.</w:t>
      </w:r>
    </w:p>
    <w:p>
      <w:r>
        <w:pict>
          <v:rect style="width:0;height:1.5pt" o:hralign="center" o:hrstd="t" o:hr="t"/>
        </w:pict>
      </w:r>
    </w:p>
    <w:bookmarkEnd w:id="20"/>
    <w:bookmarkStart w:id="21" w:name="context-and-rationale"/>
    <w:p>
      <w:pPr>
        <w:pStyle w:val="Heading3"/>
      </w:pPr>
      <w:r>
        <w:t xml:space="preserve">1. Context and Rationale</w:t>
      </w:r>
    </w:p>
    <w:p>
      <w:pPr>
        <w:pStyle w:val="FirstParagraph"/>
      </w:pPr>
      <w:r>
        <w:t xml:space="preserve">The Abracadabracadoo Protocol currently provides:</w:t>
      </w:r>
    </w:p>
    <w:p>
      <w:pPr>
        <w:pStyle w:val="Compact"/>
        <w:numPr>
          <w:ilvl w:val="0"/>
          <w:numId w:val="1001"/>
        </w:numPr>
      </w:pPr>
      <w:r>
        <w:t xml:space="preserve">Auditability and nonrepudiation via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and server logs.</w:t>
      </w:r>
    </w:p>
    <w:p>
      <w:pPr>
        <w:pStyle w:val="Compact"/>
        <w:numPr>
          <w:ilvl w:val="0"/>
          <w:numId w:val="1001"/>
        </w:numPr>
      </w:pPr>
      <w:r>
        <w:t xml:space="preserve">Ephemerality upon coordinated key and log erasure.</w:t>
      </w:r>
    </w:p>
    <w:p>
      <w:pPr>
        <w:pStyle w:val="Compact"/>
        <w:numPr>
          <w:ilvl w:val="0"/>
          <w:numId w:val="1001"/>
        </w:numPr>
      </w:pPr>
      <w:r>
        <w:t xml:space="preserve">Legal enforceability by proving message receipt.</w:t>
      </w:r>
    </w:p>
    <w:p>
      <w:pPr>
        <w:pStyle w:val="FirstParagraph"/>
      </w:pPr>
      <w:r>
        <w:t xml:space="preserve">However,</w:t>
      </w:r>
      <w:r>
        <w:t xml:space="preserve"> </w:t>
      </w:r>
      <w:r>
        <w:rPr>
          <w:b/>
          <w:bCs/>
        </w:rPr>
        <w:t xml:space="preserve">current</w:t>
      </w:r>
      <w:r>
        <w:rPr>
          <w:b/>
          <w:bCs/>
        </w:rPr>
        <w:t xml:space="preserve"> </w:t>
      </w:r>
      <w:r>
        <w:rPr>
          <w:rStyle w:val="VerbatimChar"/>
        </w:rPr>
        <w:t xml:space="preserve">** structures become forcibly verifiable if **</w:t>
      </w:r>
      <w:r>
        <w:t xml:space="preserve">** leaks**.</w:t>
      </w:r>
    </w:p>
    <w:p>
      <w:pPr>
        <w:pStyle w:val="BlockText"/>
      </w:pPr>
      <w:r>
        <w:rPr>
          <w:b/>
          <w:bCs/>
        </w:rPr>
        <w:t xml:space="preserve">This addendum introduces an optional layer allowing Bob to retain the final power to enable or disable verification by withholding or providing</w:t>
      </w:r>
      <w:r>
        <w:rPr>
          <w:b/>
          <w:bCs/>
        </w:rPr>
        <w:t xml:space="preserve"> </w:t>
      </w:r>
      <w:r>
        <w:rPr>
          <w:rStyle w:val="VerbatimChar"/>
        </w:rPr>
        <w:t xml:space="preserve">**, even if **</w:t>
      </w:r>
      <w:r>
        <w:t xml:space="preserve">** leaks.**</w:t>
      </w:r>
    </w:p>
    <w:p>
      <w:r>
        <w:pict>
          <v:rect style="width:0;height:1.5pt" o:hralign="center" o:hrstd="t" o:hr="t"/>
        </w:pict>
      </w:r>
    </w:p>
    <w:bookmarkEnd w:id="21"/>
    <w:bookmarkStart w:id="24" w:name="protocol-modification"/>
    <w:p>
      <w:pPr>
        <w:pStyle w:val="Heading3"/>
      </w:pPr>
      <w:r>
        <w:t xml:space="preserve">2. Protocol Modification</w:t>
      </w:r>
    </w:p>
    <w:bookmarkStart w:id="22" w:name="ephemeral-recipient-secret"/>
    <w:p>
      <w:pPr>
        <w:pStyle w:val="Heading4"/>
      </w:pPr>
      <w:r>
        <w:t xml:space="preserve">2.1 Ephemeral Recipient Secret</w:t>
      </w:r>
    </w:p>
    <w:p>
      <w:pPr>
        <w:pStyle w:val="FirstParagraph"/>
      </w:pPr>
      <w:r>
        <w:t xml:space="preserve">During session initiation, Bob generates: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K_bobproof</w:t>
      </w:r>
      <w:r>
        <w:t xml:space="preserve">: A high-entropy, ephemeral secret, scoped only to this session.</w:t>
      </w:r>
    </w:p>
    <w:p>
      <w:pPr>
        <w:pStyle w:val="FirstParagraph"/>
      </w:pPr>
      <w:r>
        <w:t xml:space="preserve">Bob shares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 </w:t>
      </w:r>
      <w:r>
        <w:t xml:space="preserve">with Alice securely (via ECDH or equivalent secure ephemeral exchange), or via a server-mediated ephemeral transfer encrypted under Alice’s session public key.</w:t>
      </w:r>
    </w:p>
    <w:bookmarkEnd w:id="22"/>
    <w:bookmarkStart w:id="23" w:name="modified-proof-token-construction"/>
    <w:p>
      <w:pPr>
        <w:pStyle w:val="Heading4"/>
      </w:pPr>
      <w:r>
        <w:t xml:space="preserve">2.2 Modified Proof Token Construction</w:t>
      </w:r>
    </w:p>
    <w:p>
      <w:pPr>
        <w:pStyle w:val="FirstParagraph"/>
      </w:pPr>
      <w:r>
        <w:t xml:space="preserve">Instead of:</w:t>
      </w:r>
    </w:p>
    <w:p>
      <w:pPr>
        <w:pStyle w:val="SourceCode"/>
      </w:pPr>
      <w:r>
        <w:rPr>
          <w:rStyle w:val="VerbatimChar"/>
        </w:rPr>
        <w:t xml:space="preserve">P = HMAC(K_proof, M || T)</w:t>
      </w:r>
    </w:p>
    <w:p>
      <w:pPr>
        <w:pStyle w:val="FirstParagraph"/>
      </w:pPr>
      <w:r>
        <w:t xml:space="preserve">Compute:</w:t>
      </w:r>
    </w:p>
    <w:p>
      <w:pPr>
        <w:pStyle w:val="SourceCode"/>
      </w:pPr>
      <w:r>
        <w:rPr>
          <w:rStyle w:val="VerbatimChar"/>
        </w:rPr>
        <w:t xml:space="preserve">Inner_H = HMAC(K_bobproof, M || T)</w:t>
      </w:r>
      <w:r>
        <w:br/>
      </w:r>
      <w:r>
        <w:rPr>
          <w:rStyle w:val="VerbatimChar"/>
        </w:rPr>
        <w:t xml:space="preserve">P = HMAC(K_proof, Inner_H)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Inner_H</w:t>
      </w:r>
      <w:r>
        <w:t xml:space="preserve"> </w:t>
      </w:r>
      <w:r>
        <w:t xml:space="preserve">cannot be recomputed by any party without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P</w:t>
      </w:r>
      <w:r>
        <w:t xml:space="preserve"> </w:t>
      </w:r>
      <w:r>
        <w:t xml:space="preserve">can be verified only if both</w:t>
      </w:r>
      <w:r>
        <w:t xml:space="preserve"> </w:t>
      </w:r>
      <w:r>
        <w:rPr>
          <w:rStyle w:val="VerbatimChar"/>
        </w:rPr>
        <w:t xml:space="preserve">K_proof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 </w:t>
      </w:r>
      <w:r>
        <w:t xml:space="preserve">are available.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protocol-flow-impact"/>
    <w:p>
      <w:pPr>
        <w:pStyle w:val="Heading3"/>
      </w:pPr>
      <w:r>
        <w:t xml:space="preserve">3. Protocol Flow Impact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Sender Preparation (Alice):</w:t>
      </w:r>
      <w:r>
        <w:t xml:space="preserve"> </w:t>
      </w:r>
      <w:r>
        <w:t xml:space="preserve">Receives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 </w:t>
      </w:r>
      <w:r>
        <w:t xml:space="preserve">from Bob during handshake.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Proof Logging (Server):</w:t>
      </w:r>
      <w:r>
        <w:t xml:space="preserve"> </w:t>
      </w:r>
      <w:r>
        <w:t xml:space="preserve">Stores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as usual; process unchanged.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Normal Verification:</w:t>
      </w:r>
      <w:r>
        <w:t xml:space="preserve"> </w:t>
      </w:r>
      <w:r>
        <w:t xml:space="preserve">During standard disputes or audit, Bob cooperates by providing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, enabling third parties to compute</w:t>
      </w:r>
      <w:r>
        <w:t xml:space="preserve"> </w:t>
      </w:r>
      <w:r>
        <w:rPr>
          <w:rStyle w:val="VerbatimChar"/>
        </w:rPr>
        <w:t xml:space="preserve">Inner_H</w:t>
      </w:r>
      <w:r>
        <w:t xml:space="preserve"> </w:t>
      </w:r>
      <w:r>
        <w:t xml:space="preserve">and validate</w:t>
      </w:r>
      <w:r>
        <w:t xml:space="preserve"> </w:t>
      </w:r>
      <w:r>
        <w:rPr>
          <w:rStyle w:val="VerbatimChar"/>
        </w:rPr>
        <w:t xml:space="preserve">P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Conditional Deniability:</w:t>
      </w:r>
      <w:r>
        <w:t xml:space="preserve"> </w:t>
      </w:r>
      <w:r>
        <w:t xml:space="preserve">If</w:t>
      </w:r>
      <w:r>
        <w:t xml:space="preserve"> </w:t>
      </w:r>
      <w:r>
        <w:rPr>
          <w:rStyle w:val="VerbatimChar"/>
        </w:rPr>
        <w:t xml:space="preserve">K_proof</w:t>
      </w:r>
      <w:r>
        <w:t xml:space="preserve"> </w:t>
      </w:r>
      <w:r>
        <w:t xml:space="preserve">is leaked or forcibly disclosed,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alone does not reveal</w:t>
      </w:r>
      <w:r>
        <w:t xml:space="preserve"> </w:t>
      </w:r>
      <w:r>
        <w:rPr>
          <w:rStyle w:val="VerbatimChar"/>
        </w:rPr>
        <w:t xml:space="preserve">M</w:t>
      </w:r>
      <w:r>
        <w:t xml:space="preserve">. Verification cannot occur unless Bob also provides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, preserving Bob’s sovereignty over final verifiability.</w:t>
      </w:r>
    </w:p>
    <w:p>
      <w:r>
        <w:pict>
          <v:rect style="width:0;height:1.5pt" o:hralign="center" o:hrstd="t" o:hr="t"/>
        </w:pict>
      </w:r>
    </w:p>
    <w:bookmarkEnd w:id="25"/>
    <w:bookmarkStart w:id="26" w:name="security-properties"/>
    <w:p>
      <w:pPr>
        <w:pStyle w:val="Heading3"/>
      </w:pPr>
      <w:r>
        <w:t xml:space="preserve">4. Security Properties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Audit-Friendly:</w:t>
      </w:r>
      <w:r>
        <w:t xml:space="preserve"> </w:t>
      </w:r>
      <w:r>
        <w:t xml:space="preserve">Functions identically to standard Abracadabracadoo under normal cooperative conditions.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Confidentiality:</w:t>
      </w:r>
      <w:r>
        <w:t xml:space="preserve"> </w:t>
      </w:r>
      <w:r>
        <w:t xml:space="preserve">No additional leakage introduced.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Conditional Deniability:</w:t>
      </w:r>
      <w:r>
        <w:t xml:space="preserve"> </w:t>
      </w:r>
      <w:r>
        <w:t xml:space="preserve">Verification requires recipient’s active cooperation, preserving consent-based proof exposure.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Replay Protection:</w:t>
      </w:r>
      <w:r>
        <w:t xml:space="preserve"> </w:t>
      </w:r>
      <w:r>
        <w:t xml:space="preserve">Hash-nonce chaining remains intact.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Minimal Overhead:</w:t>
      </w:r>
      <w:r>
        <w:t xml:space="preserve"> </w:t>
      </w:r>
      <w:r>
        <w:t xml:space="preserve">Adds a single ephemeral secret exchange and an additional HMAC layer.</w:t>
      </w:r>
    </w:p>
    <w:p>
      <w:r>
        <w:pict>
          <v:rect style="width:0;height:1.5pt" o:hralign="center" o:hrstd="t" o:hr="t"/>
        </w:pict>
      </w:r>
    </w:p>
    <w:bookmarkEnd w:id="26"/>
    <w:bookmarkStart w:id="27" w:name="use-cases"/>
    <w:p>
      <w:pPr>
        <w:pStyle w:val="Heading3"/>
      </w:pPr>
      <w:r>
        <w:t xml:space="preserve">5. Use Cases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Sovereignty-Respecting Legal Messaging:</w:t>
      </w:r>
      <w:r>
        <w:t xml:space="preserve"> </w:t>
      </w:r>
      <w:r>
        <w:t xml:space="preserve">Proof of delivery when mutually desired, with deniability otherwise.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Jurisdictional Safety:</w:t>
      </w:r>
      <w:r>
        <w:t xml:space="preserve"> </w:t>
      </w:r>
      <w:r>
        <w:t xml:space="preserve">Enables controlled verifiability while mitigating risks under coercive legal regimes.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Dispute Resolution:</w:t>
      </w:r>
      <w:r>
        <w:t xml:space="preserve"> </w:t>
      </w:r>
      <w:r>
        <w:t xml:space="preserve">Provides verifiability during mediated disputes without enabling unconsented third-party exposure.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Personal Sovereignty:</w:t>
      </w:r>
      <w:r>
        <w:t xml:space="preserve"> </w:t>
      </w:r>
      <w:r>
        <w:t xml:space="preserve">Aligns cryptographic messaging with the principle that</w:t>
      </w:r>
      <w:r>
        <w:t xml:space="preserve"> </w:t>
      </w:r>
      <w:r>
        <w:rPr>
          <w:b/>
          <w:bCs/>
        </w:rPr>
        <w:t xml:space="preserve">no proof should outlive the consent of its participants.</w:t>
      </w:r>
    </w:p>
    <w:p>
      <w:r>
        <w:pict>
          <v:rect style="width:0;height:1.5pt" o:hralign="center" o:hrstd="t" o:hr="t"/>
        </w:pict>
      </w:r>
    </w:p>
    <w:bookmarkEnd w:id="27"/>
    <w:bookmarkStart w:id="28" w:name="privacy-and-control-considerations"/>
    <w:p>
      <w:pPr>
        <w:pStyle w:val="Heading3"/>
      </w:pPr>
      <w:r>
        <w:t xml:space="preserve">6. Privacy and Control Considerations</w:t>
      </w:r>
    </w:p>
    <w:p>
      <w:pPr>
        <w:pStyle w:val="Compact"/>
        <w:numPr>
          <w:ilvl w:val="0"/>
          <w:numId w:val="1007"/>
        </w:numPr>
      </w:pPr>
      <w:r>
        <w:t xml:space="preserve">Bob must securely manage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 </w:t>
      </w:r>
      <w:r>
        <w:t xml:space="preserve">until verification is no longer needed.</w:t>
      </w:r>
    </w:p>
    <w:p>
      <w:pPr>
        <w:pStyle w:val="Compact"/>
        <w:numPr>
          <w:ilvl w:val="0"/>
          <w:numId w:val="1007"/>
        </w:numPr>
      </w:pPr>
      <w:r>
        <w:t xml:space="preserve">If Bob loses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, verification cannot proceed, which may affect enforceability if nonrepudiation is later desired.</w:t>
      </w:r>
    </w:p>
    <w:p>
      <w:pPr>
        <w:pStyle w:val="Compact"/>
        <w:numPr>
          <w:ilvl w:val="0"/>
          <w:numId w:val="1007"/>
        </w:numPr>
      </w:pPr>
      <w:r>
        <w:t xml:space="preserve">The exchange of</w:t>
      </w:r>
      <w:r>
        <w:t xml:space="preserve"> </w:t>
      </w:r>
      <w:r>
        <w:rPr>
          <w:rStyle w:val="VerbatimChar"/>
        </w:rPr>
        <w:t xml:space="preserve">K_bobproof</w:t>
      </w:r>
      <w:r>
        <w:t xml:space="preserve"> </w:t>
      </w:r>
      <w:r>
        <w:t xml:space="preserve">should occur over ephemeral, encrypted channels.</w:t>
      </w:r>
    </w:p>
    <w:p>
      <w:r>
        <w:pict>
          <v:rect style="width:0;height:1.5pt" o:hralign="center" o:hrstd="t" o:hr="t"/>
        </w:pict>
      </w:r>
    </w:p>
    <w:bookmarkEnd w:id="28"/>
    <w:bookmarkStart w:id="29" w:name="conclusion"/>
    <w:p>
      <w:pPr>
        <w:pStyle w:val="Heading3"/>
      </w:pPr>
      <w:r>
        <w:t xml:space="preserve">7. Conclusion</w:t>
      </w:r>
    </w:p>
    <w:p>
      <w:pPr>
        <w:pStyle w:val="FirstParagraph"/>
      </w:pPr>
      <w:r>
        <w:t xml:space="preserve">This addendum introduces</w:t>
      </w:r>
      <w:r>
        <w:t xml:space="preserve"> </w:t>
      </w:r>
      <w:r>
        <w:rPr>
          <w:b/>
          <w:bCs/>
        </w:rPr>
        <w:t xml:space="preserve">conditional deniability into the Abracadabracadoo Protocol without compromising its proof structure under normal use</w:t>
      </w:r>
      <w:r>
        <w:t xml:space="preserve">, preserving sovereignty and user consent as first principles while maintaining compatibility with legal, audit, and dispute resolution scenarios.</w:t>
      </w:r>
    </w:p>
    <w:p>
      <w:pPr>
        <w:pStyle w:val="BlockText"/>
      </w:pPr>
      <w:r>
        <w:rPr>
          <w:b/>
          <w:bCs/>
        </w:rPr>
        <w:t xml:space="preserve">Verification is no longer merely a matter of leaked keys, but a matter of shared consent—extending the philosophy of semantic sovereignty deeper into cryptographic paper.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2025-07-10T22:04:24Z</dcterms:created>
  <dcterms:modified xsi:type="dcterms:W3CDTF">2025-07-10T22:04:24Z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